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166D6" w14:textId="77777777" w:rsidR="00047CC7" w:rsidRPr="00047CC7" w:rsidRDefault="00047CC7" w:rsidP="00047CC7">
      <w:pPr>
        <w:spacing w:before="100" w:beforeAutospacing="1" w:after="240" w:line="240" w:lineRule="auto"/>
        <w:jc w:val="center"/>
        <w:rPr>
          <w:rFonts w:ascii="Calibri" w:eastAsia="Calibri" w:hAnsi="Calibri" w:cs="Calibri"/>
        </w:rPr>
      </w:pPr>
      <w:r w:rsidRPr="00047CC7">
        <w:rPr>
          <w:rFonts w:ascii="Tahoma" w:eastAsia="Calibri" w:hAnsi="Tahoma" w:cs="Tahoma"/>
          <w:b/>
          <w:bCs/>
          <w:color w:val="2E75B6"/>
          <w:sz w:val="30"/>
          <w:szCs w:val="30"/>
        </w:rPr>
        <w:t xml:space="preserve">Have your voice heard </w:t>
      </w:r>
    </w:p>
    <w:p w14:paraId="0D32DE76" w14:textId="77777777" w:rsidR="00047CC7" w:rsidRPr="00047CC7" w:rsidRDefault="00047CC7" w:rsidP="00047CC7">
      <w:pPr>
        <w:spacing w:before="100" w:beforeAutospacing="1" w:after="240" w:line="240" w:lineRule="auto"/>
        <w:jc w:val="center"/>
        <w:rPr>
          <w:rFonts w:ascii="Calibri" w:eastAsia="Calibri" w:hAnsi="Calibri" w:cs="Calibri"/>
        </w:rPr>
      </w:pPr>
      <w:r w:rsidRPr="00047CC7">
        <w:rPr>
          <w:rFonts w:ascii="Tahoma" w:eastAsia="Calibri" w:hAnsi="Tahoma" w:cs="Tahoma"/>
          <w:b/>
          <w:bCs/>
          <w:color w:val="2E75B6"/>
          <w:sz w:val="30"/>
          <w:szCs w:val="30"/>
        </w:rPr>
        <w:t>in the Northern Santa Barbara County</w:t>
      </w:r>
    </w:p>
    <w:p w14:paraId="738D099D" w14:textId="77777777" w:rsidR="00047CC7" w:rsidRPr="00047CC7" w:rsidRDefault="00047CC7" w:rsidP="00047CC7">
      <w:pPr>
        <w:spacing w:before="100" w:beforeAutospacing="1" w:after="240" w:line="240" w:lineRule="auto"/>
        <w:jc w:val="center"/>
        <w:rPr>
          <w:rFonts w:ascii="Calibri" w:eastAsia="Calibri" w:hAnsi="Calibri" w:cs="Calibri"/>
        </w:rPr>
      </w:pPr>
      <w:r w:rsidRPr="00047CC7">
        <w:rPr>
          <w:rFonts w:ascii="Tahoma" w:eastAsia="Calibri" w:hAnsi="Tahoma" w:cs="Tahoma"/>
          <w:b/>
          <w:bCs/>
          <w:color w:val="2E75B6"/>
          <w:sz w:val="30"/>
          <w:szCs w:val="30"/>
        </w:rPr>
        <w:t xml:space="preserve">Community Broadband (High Speed Internet) Needs Assessment </w:t>
      </w:r>
    </w:p>
    <w:tbl>
      <w:tblPr>
        <w:tblW w:w="0" w:type="auto"/>
        <w:jc w:val="center"/>
        <w:tblCellMar>
          <w:left w:w="0" w:type="dxa"/>
          <w:right w:w="0" w:type="dxa"/>
        </w:tblCellMar>
        <w:tblLook w:val="04A0" w:firstRow="1" w:lastRow="0" w:firstColumn="1" w:lastColumn="0" w:noHBand="0" w:noVBand="1"/>
      </w:tblPr>
      <w:tblGrid>
        <w:gridCol w:w="2012"/>
      </w:tblGrid>
      <w:tr w:rsidR="00047CC7" w:rsidRPr="00047CC7" w14:paraId="3EF9CFE7" w14:textId="77777777" w:rsidTr="00047CC7">
        <w:trPr>
          <w:jc w:val="center"/>
        </w:trPr>
        <w:tc>
          <w:tcPr>
            <w:tcW w:w="0" w:type="auto"/>
            <w:tcMar>
              <w:top w:w="0" w:type="dxa"/>
              <w:left w:w="0" w:type="dxa"/>
              <w:bottom w:w="24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1962"/>
            </w:tblGrid>
            <w:tr w:rsidR="00047CC7" w:rsidRPr="00047CC7" w14:paraId="7F0F58A2" w14:textId="77777777">
              <w:trPr>
                <w:jc w:val="center"/>
              </w:trPr>
              <w:tc>
                <w:tcPr>
                  <w:tcW w:w="0" w:type="auto"/>
                  <w:shd w:val="clear" w:color="auto" w:fill="3E598A"/>
                  <w:tcMar>
                    <w:top w:w="90" w:type="dxa"/>
                    <w:left w:w="150" w:type="dxa"/>
                    <w:bottom w:w="90" w:type="dxa"/>
                    <w:right w:w="150" w:type="dxa"/>
                  </w:tcMar>
                  <w:vAlign w:val="center"/>
                  <w:hideMark/>
                </w:tcPr>
                <w:p w14:paraId="730E1A2E" w14:textId="3083369A" w:rsidR="00047CC7" w:rsidRPr="00047CC7" w:rsidRDefault="00047CC7" w:rsidP="00047CC7">
                  <w:pPr>
                    <w:spacing w:after="0" w:line="240" w:lineRule="auto"/>
                    <w:jc w:val="center"/>
                    <w:rPr>
                      <w:rFonts w:ascii="Times New Roman" w:eastAsia="Calibri" w:hAnsi="Times New Roman" w:cs="Times New Roman"/>
                      <w:sz w:val="24"/>
                      <w:szCs w:val="24"/>
                    </w:rPr>
                  </w:pPr>
                  <w:r w:rsidRPr="00047CC7">
                    <w:rPr>
                      <w:rFonts w:ascii="Calibri" w:eastAsia="Calibri" w:hAnsi="Calibri" w:cs="Calibri"/>
                    </w:rPr>
                    <w:t> </w:t>
                  </w:r>
                  <w:hyperlink r:id="rId4" w:history="1">
                    <w:r w:rsidRPr="00047CC7">
                      <w:rPr>
                        <w:rFonts w:ascii="Tahoma" w:eastAsia="Calibri" w:hAnsi="Tahoma" w:cs="Tahoma"/>
                        <w:b/>
                        <w:bCs/>
                        <w:color w:val="FFFFFF"/>
                        <w:sz w:val="27"/>
                        <w:szCs w:val="27"/>
                        <w:u w:val="single"/>
                      </w:rPr>
                      <w:t>Take Survey</w:t>
                    </w:r>
                  </w:hyperlink>
                  <w:r w:rsidRPr="00047CC7">
                    <w:rPr>
                      <w:rFonts w:ascii="Times New Roman" w:eastAsia="Calibri" w:hAnsi="Times New Roman" w:cs="Times New Roman"/>
                      <w:color w:val="000000"/>
                      <w:sz w:val="24"/>
                      <w:szCs w:val="24"/>
                    </w:rPr>
                    <w:t xml:space="preserve"> </w:t>
                  </w:r>
                </w:p>
              </w:tc>
            </w:tr>
          </w:tbl>
          <w:p w14:paraId="0AC83DDC" w14:textId="77777777" w:rsidR="00047CC7" w:rsidRPr="00047CC7" w:rsidRDefault="00047CC7" w:rsidP="00047CC7">
            <w:pPr>
              <w:spacing w:after="0" w:line="240" w:lineRule="auto"/>
              <w:jc w:val="center"/>
              <w:rPr>
                <w:rFonts w:ascii="Times New Roman" w:eastAsia="Times New Roman" w:hAnsi="Times New Roman" w:cs="Times New Roman"/>
                <w:sz w:val="20"/>
                <w:szCs w:val="20"/>
              </w:rPr>
            </w:pPr>
          </w:p>
        </w:tc>
      </w:tr>
    </w:tbl>
    <w:p w14:paraId="5764CD85" w14:textId="34D291DB" w:rsidR="00047CC7" w:rsidRPr="00047CC7" w:rsidRDefault="00047CC7" w:rsidP="00047CC7">
      <w:pPr>
        <w:spacing w:before="100" w:beforeAutospacing="1" w:after="240" w:line="240" w:lineRule="auto"/>
        <w:rPr>
          <w:rFonts w:ascii="Calibri" w:eastAsia="Calibri" w:hAnsi="Calibri" w:cs="Calibri"/>
        </w:rPr>
      </w:pPr>
      <w:r w:rsidRPr="00047CC7">
        <w:rPr>
          <w:rFonts w:ascii="Tahoma" w:eastAsia="Calibri" w:hAnsi="Tahoma" w:cs="Tahoma"/>
          <w:color w:val="000000"/>
        </w:rPr>
        <w:t xml:space="preserve">We encourage you to complete the Community Broadband Needs Assessment. </w:t>
      </w:r>
      <w:r w:rsidRPr="00047CC7">
        <w:rPr>
          <w:rFonts w:ascii="Tahoma" w:eastAsia="Calibri" w:hAnsi="Tahoma" w:cs="Tahoma"/>
          <w:color w:val="000000"/>
          <w:highlight w:val="yellow"/>
        </w:rPr>
        <w:t xml:space="preserve">If you haven’t completed it already, you have until </w:t>
      </w:r>
      <w:r w:rsidRPr="00047CC7">
        <w:rPr>
          <w:rFonts w:ascii="Tahoma" w:eastAsia="Calibri" w:hAnsi="Tahoma" w:cs="Tahoma"/>
          <w:b/>
          <w:bCs/>
          <w:color w:val="000000"/>
          <w:highlight w:val="yellow"/>
        </w:rPr>
        <w:t>November 1</w:t>
      </w:r>
      <w:r w:rsidRPr="00047CC7">
        <w:rPr>
          <w:rFonts w:ascii="Tahoma" w:eastAsia="Calibri" w:hAnsi="Tahoma" w:cs="Tahoma"/>
          <w:b/>
          <w:bCs/>
          <w:color w:val="000000"/>
          <w:highlight w:val="yellow"/>
          <w:vertAlign w:val="superscript"/>
        </w:rPr>
        <w:t>st</w:t>
      </w:r>
      <w:r w:rsidRPr="00047CC7">
        <w:rPr>
          <w:rFonts w:ascii="Tahoma" w:eastAsia="Calibri" w:hAnsi="Tahoma" w:cs="Tahoma"/>
          <w:color w:val="000000"/>
          <w:highlight w:val="yellow"/>
        </w:rPr>
        <w:t>.</w:t>
      </w:r>
      <w:r w:rsidRPr="00047CC7">
        <w:rPr>
          <w:rFonts w:ascii="Tahoma" w:eastAsia="Calibri" w:hAnsi="Tahoma" w:cs="Tahoma"/>
          <w:color w:val="000000"/>
        </w:rPr>
        <w:t xml:space="preserve"> Your input is valuable, as it will be analyzed with other input about broadband (high speed internet) needs and will be made available to any entity applying for funding to enhance Northern Santa Barbara County </w:t>
      </w:r>
      <w:r w:rsidRPr="00047CC7">
        <w:rPr>
          <w:rFonts w:ascii="Tahoma" w:eastAsia="Calibri" w:hAnsi="Tahoma" w:cs="Tahoma"/>
        </w:rPr>
        <w:t xml:space="preserve">internet </w:t>
      </w:r>
      <w:r w:rsidRPr="00047CC7">
        <w:rPr>
          <w:rFonts w:ascii="Tahoma" w:eastAsia="Calibri" w:hAnsi="Tahoma" w:cs="Tahoma"/>
          <w:color w:val="000000"/>
        </w:rPr>
        <w:t>connectivity.</w:t>
      </w:r>
    </w:p>
    <w:p w14:paraId="512D456D" w14:textId="77777777" w:rsidR="00047CC7" w:rsidRPr="00047CC7" w:rsidRDefault="00047CC7" w:rsidP="00047CC7">
      <w:pPr>
        <w:spacing w:before="100" w:beforeAutospacing="1" w:after="100" w:afterAutospacing="1" w:line="240" w:lineRule="auto"/>
        <w:rPr>
          <w:rFonts w:ascii="Calibri" w:eastAsia="Calibri" w:hAnsi="Calibri" w:cs="Calibri"/>
        </w:rPr>
      </w:pPr>
      <w:r w:rsidRPr="00047CC7">
        <w:rPr>
          <w:rFonts w:ascii="Tahoma" w:eastAsia="Calibri" w:hAnsi="Tahoma" w:cs="Tahoma"/>
          <w:color w:val="000000"/>
        </w:rPr>
        <w:t xml:space="preserve">For the past few years, </w:t>
      </w:r>
      <w:proofErr w:type="spellStart"/>
      <w:r w:rsidRPr="00047CC7">
        <w:rPr>
          <w:rFonts w:ascii="Tahoma" w:eastAsia="Calibri" w:hAnsi="Tahoma" w:cs="Tahoma"/>
          <w:color w:val="000000"/>
        </w:rPr>
        <w:t>EconAlliance</w:t>
      </w:r>
      <w:proofErr w:type="spellEnd"/>
      <w:r w:rsidRPr="00047CC7">
        <w:rPr>
          <w:rFonts w:ascii="Tahoma" w:eastAsia="Calibri" w:hAnsi="Tahoma" w:cs="Tahoma"/>
          <w:color w:val="000000"/>
        </w:rPr>
        <w:t xml:space="preserve"> </w:t>
      </w:r>
      <w:r w:rsidRPr="00047CC7">
        <w:rPr>
          <w:rFonts w:ascii="Tahoma" w:eastAsia="Calibri" w:hAnsi="Tahoma" w:cs="Tahoma"/>
        </w:rPr>
        <w:t xml:space="preserve">(who is conducting the survey) </w:t>
      </w:r>
      <w:r w:rsidRPr="00047CC7">
        <w:rPr>
          <w:rFonts w:ascii="Tahoma" w:eastAsia="Calibri" w:hAnsi="Tahoma" w:cs="Tahoma"/>
          <w:color w:val="000000"/>
        </w:rPr>
        <w:t xml:space="preserve">has served as Santa Barbara County liaison to the tri-county Broadband Consortium </w:t>
      </w:r>
      <w:r w:rsidRPr="00047CC7">
        <w:rPr>
          <w:rFonts w:ascii="Tahoma" w:eastAsia="Calibri" w:hAnsi="Tahoma" w:cs="Tahoma"/>
        </w:rPr>
        <w:t xml:space="preserve">of the </w:t>
      </w:r>
      <w:r w:rsidRPr="00047CC7">
        <w:rPr>
          <w:rFonts w:ascii="Tahoma" w:eastAsia="Calibri" w:hAnsi="Tahoma" w:cs="Tahoma"/>
          <w:color w:val="000000"/>
        </w:rPr>
        <w:t>Pacific Coast (Consortium), working cooperatively with the Consortium to enhance broadband in Northern Santa Barbara County.</w:t>
      </w:r>
    </w:p>
    <w:p w14:paraId="50CD45D5" w14:textId="0D324538" w:rsidR="00047CC7" w:rsidRPr="00047CC7" w:rsidRDefault="00047CC7" w:rsidP="00047CC7">
      <w:pPr>
        <w:spacing w:before="100" w:beforeAutospacing="1" w:after="240" w:line="240" w:lineRule="auto"/>
        <w:rPr>
          <w:rFonts w:ascii="Calibri" w:eastAsia="Calibri" w:hAnsi="Calibri" w:cs="Calibri"/>
        </w:rPr>
      </w:pPr>
      <w:r w:rsidRPr="00047CC7">
        <w:rPr>
          <w:rFonts w:ascii="Tahoma" w:eastAsia="Calibri" w:hAnsi="Tahoma" w:cs="Tahoma"/>
          <w:color w:val="000000"/>
        </w:rPr>
        <w:t xml:space="preserve">This survey for </w:t>
      </w:r>
      <w:r w:rsidRPr="00047CC7">
        <w:rPr>
          <w:rFonts w:ascii="Tahoma" w:eastAsia="Calibri" w:hAnsi="Tahoma" w:cs="Tahoma"/>
          <w:b/>
          <w:bCs/>
          <w:color w:val="000000"/>
        </w:rPr>
        <w:t>businesses &amp; organizations</w:t>
      </w:r>
      <w:r w:rsidRPr="00047CC7">
        <w:rPr>
          <w:rFonts w:ascii="Tahoma" w:eastAsia="Calibri" w:hAnsi="Tahoma" w:cs="Tahoma"/>
          <w:color w:val="000000"/>
        </w:rPr>
        <w:t xml:space="preserve"> is available online* at </w:t>
      </w:r>
      <w:hyperlink r:id="rId5" w:history="1">
        <w:r w:rsidRPr="00047CC7">
          <w:rPr>
            <w:rFonts w:ascii="Tahoma" w:eastAsia="Calibri" w:hAnsi="Tahoma" w:cs="Tahoma"/>
            <w:color w:val="0000FF"/>
            <w:u w:val="single"/>
          </w:rPr>
          <w:t>https://www.surveymonkey.com/r/Broadband-Entities</w:t>
        </w:r>
      </w:hyperlink>
      <w:r w:rsidRPr="00047CC7">
        <w:rPr>
          <w:rFonts w:ascii="Tahoma" w:eastAsia="Calibri" w:hAnsi="Tahoma" w:cs="Tahoma"/>
        </w:rPr>
        <w:t xml:space="preserve">. For questions about these surveys, please contact </w:t>
      </w:r>
      <w:hyperlink r:id="rId6" w:history="1">
        <w:r w:rsidRPr="00047CC7">
          <w:rPr>
            <w:rFonts w:ascii="Tahoma" w:eastAsia="Calibri" w:hAnsi="Tahoma" w:cs="Tahoma"/>
            <w:color w:val="0000FF"/>
            <w:u w:val="single"/>
          </w:rPr>
          <w:t>initiatives@EconAlliance.org</w:t>
        </w:r>
      </w:hyperlink>
      <w:r w:rsidRPr="00047CC7">
        <w:rPr>
          <w:rFonts w:ascii="Tahoma" w:eastAsia="Calibri" w:hAnsi="Tahoma" w:cs="Tahoma"/>
        </w:rPr>
        <w:t>.</w:t>
      </w:r>
    </w:p>
    <w:p w14:paraId="774594D9" w14:textId="77777777" w:rsidR="00047CC7" w:rsidRDefault="00047CC7" w:rsidP="00047CC7">
      <w:pPr>
        <w:spacing w:before="100" w:beforeAutospacing="1" w:after="240" w:line="240" w:lineRule="auto"/>
        <w:rPr>
          <w:rFonts w:ascii="Tahoma" w:eastAsia="Calibri" w:hAnsi="Tahoma" w:cs="Tahoma"/>
        </w:rPr>
      </w:pPr>
      <w:r w:rsidRPr="00047CC7">
        <w:rPr>
          <w:rFonts w:ascii="Tahoma" w:eastAsia="Calibri" w:hAnsi="Tahoma" w:cs="Tahoma"/>
        </w:rPr>
        <w:t xml:space="preserve">The  separate survey can be completed by </w:t>
      </w:r>
      <w:r w:rsidRPr="00047CC7">
        <w:rPr>
          <w:rFonts w:ascii="Tahoma" w:eastAsia="Calibri" w:hAnsi="Tahoma" w:cs="Tahoma"/>
          <w:b/>
          <w:bCs/>
        </w:rPr>
        <w:t>residents</w:t>
      </w:r>
      <w:r w:rsidRPr="00047CC7">
        <w:rPr>
          <w:rFonts w:ascii="Tahoma" w:eastAsia="Calibri" w:hAnsi="Tahoma" w:cs="Tahoma"/>
        </w:rPr>
        <w:t xml:space="preserve"> at:</w:t>
      </w:r>
      <w:r w:rsidRPr="00047CC7">
        <w:rPr>
          <w:rFonts w:ascii="Calibri" w:eastAsia="Calibri" w:hAnsi="Calibri" w:cs="Calibri"/>
        </w:rPr>
        <w:t xml:space="preserve">  </w:t>
      </w:r>
      <w:hyperlink r:id="rId7" w:history="1">
        <w:r w:rsidRPr="00047CC7">
          <w:rPr>
            <w:rFonts w:ascii="Tahoma" w:eastAsia="Calibri" w:hAnsi="Tahoma" w:cs="Tahoma"/>
            <w:color w:val="0000FF"/>
            <w:u w:val="single"/>
          </w:rPr>
          <w:t>https://www.surveymonkey.com/r/Broadband-Residents</w:t>
        </w:r>
      </w:hyperlink>
      <w:r w:rsidRPr="00047CC7">
        <w:rPr>
          <w:rFonts w:ascii="Tahoma" w:eastAsia="Calibri" w:hAnsi="Tahoma" w:cs="Tahoma"/>
        </w:rPr>
        <w:t xml:space="preserve">. </w:t>
      </w:r>
    </w:p>
    <w:p w14:paraId="6DFCD10C" w14:textId="436C3D0C" w:rsidR="00047CC7" w:rsidRPr="00047CC7" w:rsidRDefault="00047CC7" w:rsidP="00047CC7">
      <w:pPr>
        <w:spacing w:before="100" w:beforeAutospacing="1" w:after="240" w:line="240" w:lineRule="auto"/>
        <w:rPr>
          <w:rFonts w:ascii="Calibri" w:eastAsia="Calibri" w:hAnsi="Calibri" w:cs="Calibri"/>
        </w:rPr>
      </w:pPr>
      <w:r w:rsidRPr="00047CC7">
        <w:rPr>
          <w:rFonts w:ascii="Tahoma" w:eastAsia="Calibri" w:hAnsi="Tahoma" w:cs="Tahoma"/>
        </w:rPr>
        <w:t xml:space="preserve">For questions about these surveys, please contact </w:t>
      </w:r>
      <w:hyperlink r:id="rId8" w:history="1">
        <w:r w:rsidRPr="00047CC7">
          <w:rPr>
            <w:rFonts w:ascii="Tahoma" w:eastAsia="Calibri" w:hAnsi="Tahoma" w:cs="Tahoma"/>
            <w:color w:val="0000FF"/>
            <w:u w:val="single"/>
          </w:rPr>
          <w:t>initiatives@EconAlliance.org</w:t>
        </w:r>
      </w:hyperlink>
      <w:r w:rsidRPr="00047CC7">
        <w:rPr>
          <w:rFonts w:ascii="Tahoma" w:eastAsia="Calibri" w:hAnsi="Tahoma" w:cs="Tahoma"/>
        </w:rPr>
        <w:t xml:space="preserve">. </w:t>
      </w:r>
    </w:p>
    <w:p w14:paraId="16EC9CF1" w14:textId="77777777" w:rsidR="00047CC7" w:rsidRPr="00047CC7" w:rsidRDefault="00047CC7" w:rsidP="00047CC7">
      <w:pPr>
        <w:spacing w:before="100" w:beforeAutospacing="1" w:after="240" w:line="240" w:lineRule="auto"/>
        <w:rPr>
          <w:rFonts w:ascii="Calibri" w:eastAsia="Calibri" w:hAnsi="Calibri" w:cs="Calibri"/>
        </w:rPr>
      </w:pPr>
      <w:r w:rsidRPr="00047CC7">
        <w:rPr>
          <w:rFonts w:ascii="Tahoma" w:eastAsia="Calibri" w:hAnsi="Tahoma" w:cs="Tahoma"/>
        </w:rPr>
        <w:t>*Please note that there is a security factor in place to avoid anyone submitting multiple surveys. If two or more surveys are completed through the same computer or device, only the latest survey submission will be saved, so if an umbrella nonprofit would like to submit different responses for different entities, those should be submitted from different computers, or we will only see the latest submission.</w:t>
      </w:r>
    </w:p>
    <w:p w14:paraId="0E4D8C77" w14:textId="77777777" w:rsidR="00047CC7" w:rsidRPr="00047CC7" w:rsidRDefault="00047CC7" w:rsidP="00047CC7">
      <w:pPr>
        <w:spacing w:before="100" w:beforeAutospacing="1" w:after="240" w:line="240" w:lineRule="auto"/>
        <w:rPr>
          <w:rFonts w:ascii="Calibri" w:eastAsia="Calibri" w:hAnsi="Calibri" w:cs="Calibri"/>
        </w:rPr>
      </w:pPr>
      <w:r w:rsidRPr="00047CC7">
        <w:rPr>
          <w:rFonts w:ascii="Tahoma" w:eastAsia="Calibri" w:hAnsi="Tahoma" w:cs="Tahoma"/>
        </w:rPr>
        <w:t xml:space="preserve">Thank you in advance for taking the time to help gather data on our Community Broadband needs. Your voice and our residents’ voice </w:t>
      </w:r>
      <w:proofErr w:type="gramStart"/>
      <w:r w:rsidRPr="00047CC7">
        <w:rPr>
          <w:rFonts w:ascii="Tahoma" w:eastAsia="Calibri" w:hAnsi="Tahoma" w:cs="Tahoma"/>
        </w:rPr>
        <w:t>is</w:t>
      </w:r>
      <w:proofErr w:type="gramEnd"/>
      <w:r w:rsidRPr="00047CC7">
        <w:rPr>
          <w:rFonts w:ascii="Tahoma" w:eastAsia="Calibri" w:hAnsi="Tahoma" w:cs="Tahoma"/>
        </w:rPr>
        <w:t xml:space="preserve"> important.</w:t>
      </w:r>
    </w:p>
    <w:tbl>
      <w:tblPr>
        <w:tblW w:w="5000" w:type="pct"/>
        <w:tblCellSpacing w:w="0" w:type="dxa"/>
        <w:tblCellMar>
          <w:left w:w="0" w:type="dxa"/>
          <w:right w:w="0" w:type="dxa"/>
        </w:tblCellMar>
        <w:tblLook w:val="04A0" w:firstRow="1" w:lastRow="0" w:firstColumn="1" w:lastColumn="0" w:noHBand="0" w:noVBand="1"/>
      </w:tblPr>
      <w:tblGrid>
        <w:gridCol w:w="9360"/>
      </w:tblGrid>
      <w:tr w:rsidR="00047CC7" w:rsidRPr="00047CC7" w14:paraId="06770E5F" w14:textId="77777777" w:rsidTr="00047CC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4923"/>
            </w:tblGrid>
            <w:tr w:rsidR="00047CC7" w:rsidRPr="00047CC7" w14:paraId="66A5678B"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4923"/>
                  </w:tblGrid>
                  <w:tr w:rsidR="00047CC7" w:rsidRPr="00047CC7" w14:paraId="1CB28094"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1985"/>
                        </w:tblGrid>
                        <w:tr w:rsidR="00047CC7" w:rsidRPr="00047CC7" w14:paraId="6DDC17D8" w14:textId="77777777">
                          <w:trPr>
                            <w:tblCellSpacing w:w="0" w:type="dxa"/>
                          </w:trPr>
                          <w:tc>
                            <w:tcPr>
                              <w:tcW w:w="0" w:type="auto"/>
                              <w:hideMark/>
                            </w:tcPr>
                            <w:p w14:paraId="50126C93" w14:textId="77777777" w:rsidR="00047CC7" w:rsidRPr="00047CC7" w:rsidRDefault="00047CC7" w:rsidP="00047CC7">
                              <w:pPr>
                                <w:spacing w:after="0" w:line="240" w:lineRule="auto"/>
                                <w:rPr>
                                  <w:rFonts w:ascii="Times New Roman" w:eastAsia="Calibri" w:hAnsi="Times New Roman" w:cs="Times New Roman"/>
                                  <w:sz w:val="24"/>
                                  <w:szCs w:val="24"/>
                                </w:rPr>
                              </w:pPr>
                              <w:r w:rsidRPr="00047CC7">
                                <w:rPr>
                                  <w:rFonts w:ascii="Tahoma" w:eastAsia="Calibri" w:hAnsi="Tahoma" w:cs="Tahoma"/>
                                  <w:b/>
                                  <w:bCs/>
                                  <w:color w:val="EF433A"/>
                                  <w:sz w:val="21"/>
                                  <w:szCs w:val="21"/>
                                </w:rPr>
                                <w:t>Jamie Nicole Perez</w:t>
                              </w:r>
                              <w:r w:rsidRPr="00047CC7">
                                <w:rPr>
                                  <w:rFonts w:ascii="remialcxesans" w:eastAsia="Calibri" w:hAnsi="remialcxesans" w:cs="Times New Roman"/>
                                  <w:b/>
                                  <w:bCs/>
                                  <w:color w:val="FFFFFF"/>
                                  <w:sz w:val="2"/>
                                  <w:szCs w:val="2"/>
                                </w:rPr>
                                <w:t>​</w:t>
                              </w:r>
                            </w:p>
                          </w:tc>
                        </w:tr>
                      </w:tbl>
                      <w:p w14:paraId="2F8BAE82" w14:textId="77777777" w:rsidR="00047CC7" w:rsidRPr="00047CC7" w:rsidRDefault="00047CC7" w:rsidP="00047CC7">
                        <w:pPr>
                          <w:spacing w:after="0" w:line="240" w:lineRule="auto"/>
                          <w:rPr>
                            <w:rFonts w:ascii="Times New Roman" w:eastAsia="Times New Roman" w:hAnsi="Times New Roman" w:cs="Times New Roman"/>
                            <w:sz w:val="20"/>
                            <w:szCs w:val="20"/>
                          </w:rPr>
                        </w:pPr>
                      </w:p>
                    </w:tc>
                  </w:tr>
                  <w:tr w:rsidR="00047CC7" w:rsidRPr="00047CC7" w14:paraId="76DC6187" w14:textId="77777777">
                    <w:trPr>
                      <w:tblCellSpacing w:w="0" w:type="dxa"/>
                    </w:trPr>
                    <w:tc>
                      <w:tcPr>
                        <w:tcW w:w="0" w:type="auto"/>
                        <w:hideMark/>
                      </w:tcPr>
                      <w:p w14:paraId="06FB6EF5" w14:textId="77777777" w:rsidR="00047CC7" w:rsidRPr="00047CC7" w:rsidRDefault="00047CC7" w:rsidP="00047CC7">
                        <w:pPr>
                          <w:spacing w:after="0" w:line="240" w:lineRule="auto"/>
                          <w:rPr>
                            <w:rFonts w:ascii="Times New Roman" w:eastAsia="Calibri" w:hAnsi="Times New Roman" w:cs="Times New Roman"/>
                            <w:sz w:val="24"/>
                            <w:szCs w:val="24"/>
                          </w:rPr>
                        </w:pPr>
                        <w:r w:rsidRPr="00047CC7">
                          <w:rPr>
                            <w:rFonts w:ascii="Tahoma" w:eastAsia="Calibri" w:hAnsi="Tahoma" w:cs="Tahoma"/>
                            <w:b/>
                            <w:bCs/>
                            <w:color w:val="000001"/>
                            <w:sz w:val="20"/>
                            <w:szCs w:val="20"/>
                          </w:rPr>
                          <w:t>Community Engagement Coordinator</w:t>
                        </w:r>
                      </w:p>
                    </w:tc>
                  </w:tr>
                  <w:tr w:rsidR="00047CC7" w:rsidRPr="00047CC7" w14:paraId="70B3AD74"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2498"/>
                          <w:gridCol w:w="2425"/>
                        </w:tblGrid>
                        <w:tr w:rsidR="00047CC7" w:rsidRPr="00047CC7" w14:paraId="4B6898EA" w14:textId="77777777">
                          <w:trPr>
                            <w:tblCellSpacing w:w="0" w:type="dxa"/>
                          </w:trPr>
                          <w:tc>
                            <w:tcPr>
                              <w:tcW w:w="0" w:type="auto"/>
                              <w:hideMark/>
                            </w:tcPr>
                            <w:p w14:paraId="7F965E8B" w14:textId="77777777" w:rsidR="00047CC7" w:rsidRPr="00047CC7" w:rsidRDefault="00047CC7" w:rsidP="00047CC7">
                              <w:pPr>
                                <w:spacing w:after="0" w:line="240" w:lineRule="auto"/>
                                <w:rPr>
                                  <w:rFonts w:ascii="Times New Roman" w:eastAsia="Calibri" w:hAnsi="Times New Roman" w:cs="Times New Roman"/>
                                  <w:sz w:val="24"/>
                                  <w:szCs w:val="24"/>
                                </w:rPr>
                              </w:pPr>
                              <w:r w:rsidRPr="00047CC7">
                                <w:rPr>
                                  <w:rFonts w:ascii="Tahoma" w:eastAsia="Calibri" w:hAnsi="Tahoma" w:cs="Tahoma"/>
                                  <w:color w:val="030202"/>
                                  <w:sz w:val="20"/>
                                  <w:szCs w:val="20"/>
                                </w:rPr>
                                <w:t>Santa Barbara Foundation | </w:t>
                              </w:r>
                            </w:p>
                          </w:tc>
                          <w:tc>
                            <w:tcPr>
                              <w:tcW w:w="0" w:type="auto"/>
                              <w:hideMark/>
                            </w:tcPr>
                            <w:p w14:paraId="46B5E6EB" w14:textId="77777777" w:rsidR="00047CC7" w:rsidRPr="00047CC7" w:rsidRDefault="00047CC7" w:rsidP="00047CC7">
                              <w:pPr>
                                <w:spacing w:after="0" w:line="240" w:lineRule="auto"/>
                                <w:rPr>
                                  <w:rFonts w:ascii="Times New Roman" w:eastAsia="Calibri" w:hAnsi="Times New Roman" w:cs="Times New Roman"/>
                                  <w:sz w:val="24"/>
                                  <w:szCs w:val="24"/>
                                </w:rPr>
                              </w:pPr>
                              <w:hyperlink r:id="rId9" w:tgtFrame="_blank" w:tooltip="Find us in Santa Maria" w:history="1">
                                <w:r w:rsidRPr="00047CC7">
                                  <w:rPr>
                                    <w:rFonts w:ascii="Tahoma" w:eastAsia="Calibri" w:hAnsi="Tahoma" w:cs="Tahoma"/>
                                    <w:color w:val="4D70B5"/>
                                    <w:sz w:val="20"/>
                                    <w:szCs w:val="20"/>
                                    <w:u w:val="single"/>
                                  </w:rPr>
                                  <w:t>North County Headquarters</w:t>
                                </w:r>
                              </w:hyperlink>
                            </w:p>
                          </w:tc>
                        </w:tr>
                      </w:tbl>
                      <w:p w14:paraId="06BF3728" w14:textId="77777777" w:rsidR="00047CC7" w:rsidRPr="00047CC7" w:rsidRDefault="00047CC7" w:rsidP="00047CC7">
                        <w:pPr>
                          <w:spacing w:after="0" w:line="240" w:lineRule="auto"/>
                          <w:rPr>
                            <w:rFonts w:ascii="Times New Roman" w:eastAsia="Times New Roman" w:hAnsi="Times New Roman" w:cs="Times New Roman"/>
                            <w:sz w:val="20"/>
                            <w:szCs w:val="20"/>
                          </w:rPr>
                        </w:pPr>
                      </w:p>
                    </w:tc>
                  </w:tr>
                  <w:tr w:rsidR="00047CC7" w:rsidRPr="00047CC7" w14:paraId="2DC658CA" w14:textId="77777777">
                    <w:trPr>
                      <w:tblCellSpacing w:w="0" w:type="dxa"/>
                    </w:trPr>
                    <w:tc>
                      <w:tcPr>
                        <w:tcW w:w="0" w:type="auto"/>
                        <w:hideMark/>
                      </w:tcPr>
                      <w:p w14:paraId="381236A0" w14:textId="77777777" w:rsidR="00047CC7" w:rsidRPr="00047CC7" w:rsidRDefault="00047CC7" w:rsidP="00047CC7">
                        <w:pPr>
                          <w:spacing w:after="0" w:line="240" w:lineRule="auto"/>
                          <w:rPr>
                            <w:rFonts w:ascii="Times New Roman" w:eastAsia="Calibri" w:hAnsi="Times New Roman" w:cs="Times New Roman"/>
                            <w:sz w:val="24"/>
                            <w:szCs w:val="24"/>
                          </w:rPr>
                        </w:pPr>
                        <w:hyperlink r:id="rId10" w:tgtFrame="_blank" w:history="1">
                          <w:r w:rsidRPr="00047CC7">
                            <w:rPr>
                              <w:rFonts w:ascii="Tahoma" w:eastAsia="Calibri" w:hAnsi="Tahoma" w:cs="Tahoma"/>
                              <w:color w:val="000001"/>
                              <w:sz w:val="20"/>
                              <w:szCs w:val="20"/>
                              <w:u w:val="single"/>
                            </w:rPr>
                            <w:t>805.880.9395</w:t>
                          </w:r>
                        </w:hyperlink>
                        <w:r w:rsidRPr="00047CC7">
                          <w:rPr>
                            <w:rFonts w:ascii="Tahoma" w:eastAsia="Calibri" w:hAnsi="Tahoma" w:cs="Tahoma"/>
                            <w:color w:val="000001"/>
                            <w:sz w:val="20"/>
                            <w:szCs w:val="20"/>
                          </w:rPr>
                          <w:t> | </w:t>
                        </w:r>
                        <w:hyperlink r:id="rId11" w:tgtFrame="_blank" w:tooltip="SBFoundation.org" w:history="1">
                          <w:r w:rsidRPr="00047CC7">
                            <w:rPr>
                              <w:rFonts w:ascii="Tahoma" w:eastAsia="Calibri" w:hAnsi="Tahoma" w:cs="Tahoma"/>
                              <w:color w:val="4D70B5"/>
                              <w:sz w:val="20"/>
                              <w:szCs w:val="20"/>
                              <w:u w:val="single"/>
                            </w:rPr>
                            <w:t>www.sbfoundation.org</w:t>
                          </w:r>
                        </w:hyperlink>
                      </w:p>
                    </w:tc>
                  </w:tr>
                </w:tbl>
                <w:p w14:paraId="2D490DDB" w14:textId="77777777" w:rsidR="00047CC7" w:rsidRPr="00047CC7" w:rsidRDefault="00047CC7" w:rsidP="00047CC7">
                  <w:pPr>
                    <w:spacing w:after="0" w:line="240" w:lineRule="auto"/>
                    <w:rPr>
                      <w:rFonts w:ascii="Times New Roman" w:eastAsia="Times New Roman" w:hAnsi="Times New Roman" w:cs="Times New Roman"/>
                      <w:sz w:val="20"/>
                      <w:szCs w:val="20"/>
                    </w:rPr>
                  </w:pPr>
                </w:p>
              </w:tc>
            </w:tr>
          </w:tbl>
          <w:p w14:paraId="7282294B" w14:textId="77777777" w:rsidR="00047CC7" w:rsidRPr="00047CC7" w:rsidRDefault="00047CC7" w:rsidP="00047CC7">
            <w:pPr>
              <w:spacing w:after="0" w:line="240" w:lineRule="auto"/>
              <w:rPr>
                <w:rFonts w:ascii="Times New Roman" w:eastAsia="Times New Roman" w:hAnsi="Times New Roman" w:cs="Times New Roman"/>
                <w:sz w:val="20"/>
                <w:szCs w:val="20"/>
              </w:rPr>
            </w:pPr>
          </w:p>
        </w:tc>
      </w:tr>
    </w:tbl>
    <w:p w14:paraId="2955C3E6" w14:textId="77777777" w:rsidR="00047CC7" w:rsidRDefault="00047CC7"/>
    <w:sectPr w:rsidR="00047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emialcxe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CC7"/>
    <w:rsid w:val="00047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3253B"/>
  <w15:chartTrackingRefBased/>
  <w15:docId w15:val="{EE4A9208-F7CD-49AF-B992-831938D97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4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itiatives@EconAlliance.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urveymonkey.com/r/Broadband-Resident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itiatives@EconAlliance.org" TargetMode="External"/><Relationship Id="rId11" Type="http://schemas.openxmlformats.org/officeDocument/2006/relationships/hyperlink" Target="https://www.sbfoundation.org/" TargetMode="External"/><Relationship Id="rId5" Type="http://schemas.openxmlformats.org/officeDocument/2006/relationships/hyperlink" Target="https://www.surveymonkey.com/r/Broadband-Entities" TargetMode="External"/><Relationship Id="rId10" Type="http://schemas.openxmlformats.org/officeDocument/2006/relationships/hyperlink" Target="tel:805.880.9395" TargetMode="External"/><Relationship Id="rId4" Type="http://schemas.openxmlformats.org/officeDocument/2006/relationships/hyperlink" Target="https://www.surveymonkey.com/r/Broadband-Entities" TargetMode="External"/><Relationship Id="rId9" Type="http://schemas.openxmlformats.org/officeDocument/2006/relationships/hyperlink" Target="https://www.sbfoundation.org/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de Kamp</dc:creator>
  <cp:keywords/>
  <dc:description/>
  <cp:lastModifiedBy>Mark van de Kamp</cp:lastModifiedBy>
  <cp:revision>1</cp:revision>
  <dcterms:created xsi:type="dcterms:W3CDTF">2021-10-28T20:42:00Z</dcterms:created>
  <dcterms:modified xsi:type="dcterms:W3CDTF">2021-10-28T20:43:00Z</dcterms:modified>
</cp:coreProperties>
</file>